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E7" w:rsidRPr="00DF6780" w:rsidRDefault="001507E7" w:rsidP="001507E7">
      <w:pPr>
        <w:rPr>
          <w:rFonts w:ascii="Helvetica" w:hAnsi="Helvetica" w:cs="HelveticaNeueLT Std"/>
          <w:b/>
          <w:bCs/>
          <w:color w:val="000000"/>
        </w:rPr>
      </w:pPr>
      <w:r w:rsidRPr="00DF6780">
        <w:rPr>
          <w:rFonts w:ascii="Helvetica" w:hAnsi="Helvetica" w:cs="HelveticaNeueLT Std"/>
          <w:b/>
          <w:bCs/>
          <w:color w:val="000000"/>
        </w:rPr>
        <w:t>SEDuct</w:t>
      </w:r>
      <w:r w:rsidRPr="00DF6780">
        <w:rPr>
          <w:rStyle w:val="A7"/>
          <w:rFonts w:ascii="Helvetica" w:hAnsi="Helvetica"/>
          <w:sz w:val="22"/>
          <w:szCs w:val="22"/>
          <w:vertAlign w:val="superscript"/>
        </w:rPr>
        <w:t>®</w:t>
      </w:r>
      <w:r w:rsidRPr="00DF6780">
        <w:rPr>
          <w:rStyle w:val="A7"/>
          <w:rFonts w:ascii="Helvetica" w:hAnsi="Helvetica"/>
          <w:sz w:val="22"/>
          <w:szCs w:val="22"/>
        </w:rPr>
        <w:t xml:space="preserve"> </w:t>
      </w:r>
      <w:r w:rsidRPr="00DF6780">
        <w:rPr>
          <w:rFonts w:ascii="Helvetica" w:hAnsi="Helvetica" w:cs="HelveticaNeueLT Std"/>
          <w:b/>
          <w:bCs/>
          <w:color w:val="000000"/>
        </w:rPr>
        <w:t>C600</w:t>
      </w:r>
    </w:p>
    <w:p w:rsidR="001507E7" w:rsidRDefault="001507E7" w:rsidP="001507E7">
      <w:pPr>
        <w:rPr>
          <w:rFonts w:cs="HelveticaNeueLT Std"/>
          <w:b/>
          <w:bCs/>
          <w:color w:val="000000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55"/>
        <w:gridCol w:w="1173"/>
      </w:tblGrid>
      <w:tr w:rsidR="001507E7" w:rsidRPr="000F3198" w:rsidTr="00997E78">
        <w:tc>
          <w:tcPr>
            <w:tcW w:w="8455" w:type="dxa"/>
            <w:shd w:val="clear" w:color="auto" w:fill="D0CECE" w:themeFill="background2" w:themeFillShade="E6"/>
          </w:tcPr>
          <w:p w:rsidR="001507E7" w:rsidRPr="00C67CE1" w:rsidRDefault="001507E7" w:rsidP="00997E78">
            <w:pPr>
              <w:pStyle w:val="Pa5"/>
              <w:spacing w:before="120" w:after="120"/>
              <w:rPr>
                <w:rFonts w:ascii="Helvetica" w:hAnsi="Helvetica" w:cs="HelveticaNeueLT Std Med"/>
                <w:color w:val="000000"/>
                <w:sz w:val="20"/>
                <w:szCs w:val="20"/>
              </w:rPr>
            </w:pPr>
            <w:r w:rsidRPr="00C67CE1">
              <w:rPr>
                <w:rFonts w:ascii="Helvetica" w:hAnsi="Helvetica" w:cs="HelveticaNeueLT Std Med"/>
                <w:color w:val="000000"/>
                <w:sz w:val="20"/>
                <w:szCs w:val="20"/>
              </w:rPr>
              <w:t xml:space="preserve">Descrizione articolo </w:t>
            </w:r>
          </w:p>
        </w:tc>
        <w:tc>
          <w:tcPr>
            <w:tcW w:w="1173" w:type="dxa"/>
            <w:shd w:val="clear" w:color="auto" w:fill="D0CECE" w:themeFill="background2" w:themeFillShade="E6"/>
          </w:tcPr>
          <w:p w:rsidR="001507E7" w:rsidRPr="00C67CE1" w:rsidRDefault="001507E7" w:rsidP="00997E78">
            <w:pPr>
              <w:pStyle w:val="Pa28"/>
              <w:spacing w:before="120" w:after="120"/>
              <w:rPr>
                <w:rFonts w:ascii="Helvetica" w:hAnsi="Helvetica" w:cs="HelveticaNeueLT Std Med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NeueLT Std Med"/>
                <w:color w:val="000000"/>
                <w:sz w:val="20"/>
                <w:szCs w:val="20"/>
              </w:rPr>
              <w:t xml:space="preserve">U.M </w:t>
            </w:r>
          </w:p>
        </w:tc>
      </w:tr>
      <w:tr w:rsidR="001507E7" w:rsidRPr="000F3198" w:rsidTr="00997E78">
        <w:tc>
          <w:tcPr>
            <w:tcW w:w="8455" w:type="dxa"/>
          </w:tcPr>
          <w:p w:rsidR="001507E7" w:rsidRPr="00C67CE1" w:rsidRDefault="001507E7" w:rsidP="00997E78">
            <w:pPr>
              <w:pStyle w:val="Pa12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:rsidR="001507E7" w:rsidRPr="005A19FD" w:rsidRDefault="001507E7" w:rsidP="00997E78">
            <w:pPr>
              <w:pStyle w:val="Pa5"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Fornitura di condotte metalliche circolari </w:t>
            </w:r>
            <w:r w:rsidR="00B61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lisce calandrate </w:t>
            </w:r>
            <w:r w:rsidRPr="005A19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per il controllo dei fumi per comparto singolo provviste di marcatura CE secondo normativa di prodotto UNI EN 12101-7:2011. </w:t>
            </w:r>
          </w:p>
          <w:p w:rsidR="001507E7" w:rsidRPr="005A19FD" w:rsidRDefault="001507E7" w:rsidP="00997E78">
            <w:pPr>
              <w:pStyle w:val="Pa5"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Fornitura di condotte per il controllo dei fumi singolo comparto, conformi alla classe A7.1 dell’allegato al D.M. 16/02/2007, conformi alla tabella S.2-30 del D.M. 03/08/2015 e provviste di marcatura CE secondo normativa di prodotto UNI EN 12101-7:2011 </w:t>
            </w:r>
            <w:r w:rsidRPr="005A19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“Sistemi per il controllo di fumo e calore » Parte 7: Condotte per il contr</w:t>
            </w:r>
            <w:bookmarkStart w:id="0" w:name="_GoBack"/>
            <w:bookmarkEnd w:id="0"/>
            <w:r w:rsidRPr="005A19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ollo dei fumi”</w:t>
            </w: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testate ai sensi della norma UNI EN 1366-9:2008 </w:t>
            </w:r>
            <w:r w:rsidRPr="005A19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“Prove di resistenza al fuoco per impianti di fornitura e servizi - Condotte di estrazione fumo per singolo comparto” </w:t>
            </w: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 UNI EN 1363-1:2012 </w:t>
            </w:r>
            <w:r w:rsidRPr="005A19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“Prove di resistenza al fuoco » Requisiti generali”</w:t>
            </w: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resistenza fino a 120 minuti, tenuta ai fumi freddi (fattore di perdita inferiore a 5 m</w:t>
            </w:r>
            <w:r w:rsidRPr="005A19FD">
              <w:rPr>
                <w:rStyle w:val="A7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 m</w:t>
            </w:r>
            <w:r w:rsidRPr="005A19FD">
              <w:rPr>
                <w:rStyle w:val="A7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classe di perdita C (ai sensi della UNI EN 12237:2004 - </w:t>
            </w:r>
            <w:r w:rsidRPr="005A19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“Ventilazione degli edifici - Reti delle condotte - Resistenza e tenuta delle condotte circolari di lamiera metallica”</w:t>
            </w: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classificate ai sensi del capitolo 7.2 della UNI EN 13501-4:2007 + A1:2009 </w:t>
            </w:r>
            <w:r w:rsidRPr="005A19F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“Classificazione al fuoco dei prodotti e degli elementi da costruzione » Parte 4: Classificazione in base ai risultati delle prove di resistenza al fuoco dei componenti dei sistemi di controllo del fumo”</w:t>
            </w: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realizzata in materiale metallico per una pressione di esercizio -1.000 Pa ÷ + 500 Pa. </w:t>
            </w:r>
          </w:p>
          <w:p w:rsidR="001507E7" w:rsidRPr="005A19FD" w:rsidRDefault="001507E7" w:rsidP="00997E78">
            <w:pPr>
              <w:pStyle w:val="Pa5"/>
              <w:spacing w:after="12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Classificazione E</w:t>
            </w:r>
            <w:r w:rsidRPr="005A19FD">
              <w:rPr>
                <w:rStyle w:val="A10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600</w:t>
            </w:r>
            <w:r w:rsidRPr="005A19FD">
              <w:rPr>
                <w:rStyle w:val="A1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19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 (h</w:t>
            </w:r>
            <w:r w:rsidRPr="005A19FD">
              <w:rPr>
                <w:rStyle w:val="A10"/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o</w:t>
            </w:r>
            <w:r w:rsidRPr="005A19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S 1.000 singolo </w:t>
            </w:r>
          </w:p>
          <w:p w:rsidR="001507E7" w:rsidRPr="005A19FD" w:rsidRDefault="001507E7" w:rsidP="00997E78">
            <w:pPr>
              <w:pStyle w:val="P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Resistente a 600 °C per 120 minuti e tenuta ai fumi freddi S per una pressione di esercizio di 1000 Pa. </w:t>
            </w:r>
          </w:p>
          <w:p w:rsidR="001507E7" w:rsidRPr="005A19FD" w:rsidRDefault="001507E7" w:rsidP="00997E78">
            <w:pPr>
              <w:pStyle w:val="P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Sono comprese: </w:t>
            </w:r>
          </w:p>
          <w:p w:rsidR="001507E7" w:rsidRPr="005A19FD" w:rsidRDefault="001507E7" w:rsidP="00A91D6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sz w:val="20"/>
                <w:szCs w:val="20"/>
              </w:rPr>
              <w:t xml:space="preserve">Condotte rettilinee, componenti di raccordo e pezzi speciali con classificazione sopradescritta; </w:t>
            </w:r>
          </w:p>
          <w:p w:rsidR="001507E7" w:rsidRPr="005A19FD" w:rsidRDefault="001507E7" w:rsidP="00A91D6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sz w:val="20"/>
                <w:szCs w:val="20"/>
              </w:rPr>
              <w:t xml:space="preserve">Accessori per l’assemblaggio dei componenti secondo la regola dell’arte come riportato nel “Manuale di Uso e Manutenzione” forniti e testati dal costruttore dei componenti; </w:t>
            </w:r>
          </w:p>
          <w:p w:rsidR="001507E7" w:rsidRPr="005A19FD" w:rsidRDefault="001507E7" w:rsidP="00A91D6E">
            <w:pPr>
              <w:pStyle w:val="Default"/>
              <w:numPr>
                <w:ilvl w:val="0"/>
                <w:numId w:val="4"/>
              </w:num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sz w:val="20"/>
                <w:szCs w:val="20"/>
              </w:rPr>
              <w:t xml:space="preserve">Idoneo staffaggio testato in configurazione Orizzontale e Verticale per la perfetta installazione secondo la “Procedura di Corretta posa in opera”. </w:t>
            </w:r>
          </w:p>
          <w:p w:rsidR="001507E7" w:rsidRPr="005A19FD" w:rsidRDefault="001507E7" w:rsidP="00997E78">
            <w:pPr>
              <w:pStyle w:val="Pa5"/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Diametro [D espresso in millimetri]: </w:t>
            </w:r>
          </w:p>
          <w:p w:rsidR="001507E7" w:rsidRPr="005A19FD" w:rsidRDefault="001507E7" w:rsidP="00997E78">
            <w:pPr>
              <w:pStyle w:val="Pa5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Marca: AerNova </w:t>
            </w:r>
          </w:p>
          <w:p w:rsidR="001507E7" w:rsidRPr="00C67CE1" w:rsidRDefault="001507E7" w:rsidP="00997E78">
            <w:pPr>
              <w:spacing w:after="120" w:line="276" w:lineRule="auto"/>
              <w:rPr>
                <w:rFonts w:ascii="Helvetica" w:hAnsi="Helvetica" w:cs="HelveticaNeueLT Std Lt"/>
                <w:color w:val="000000"/>
                <w:sz w:val="20"/>
                <w:szCs w:val="20"/>
              </w:rPr>
            </w:pPr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Modello: </w:t>
            </w:r>
            <w:hyperlink r:id="rId5" w:history="1">
              <w:r w:rsidRPr="005A19FD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SEDuct</w:t>
              </w:r>
              <w:r w:rsidRPr="005A19FD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®</w:t>
              </w:r>
              <w:r w:rsidRPr="005A19FD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 xml:space="preserve"> C600</w:t>
              </w:r>
            </w:hyperlink>
            <w:r w:rsidRPr="005A1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1507E7" w:rsidP="00997E78">
            <w:pPr>
              <w:pStyle w:val="Pa28"/>
              <w:rPr>
                <w:rStyle w:val="A18"/>
                <w:rFonts w:ascii="Helvetica" w:hAnsi="Helvetica"/>
                <w:sz w:val="20"/>
                <w:szCs w:val="20"/>
              </w:rPr>
            </w:pPr>
          </w:p>
          <w:p w:rsidR="001507E7" w:rsidRPr="00C67CE1" w:rsidRDefault="005C4283" w:rsidP="00997E78">
            <w:pPr>
              <w:pStyle w:val="Pa28"/>
              <w:rPr>
                <w:rFonts w:ascii="Helvetica" w:hAnsi="Helvetica" w:cs="HelveticaNeueLT Std Med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NeueLT Std Lt"/>
                <w:sz w:val="20"/>
                <w:szCs w:val="20"/>
              </w:rPr>
              <w:t>m</w:t>
            </w:r>
            <w:proofErr w:type="gramEnd"/>
            <w:r w:rsidRPr="00324987">
              <w:rPr>
                <w:rFonts w:ascii="Helvetica" w:hAnsi="Helvetica" w:cs="HelveticaNeueLT Std Lt"/>
                <w:sz w:val="20"/>
                <w:szCs w:val="20"/>
                <w:vertAlign w:val="superscript"/>
              </w:rPr>
              <w:t>2</w:t>
            </w:r>
          </w:p>
        </w:tc>
      </w:tr>
    </w:tbl>
    <w:p w:rsidR="00F5138D" w:rsidRDefault="00F5138D" w:rsidP="00A630C4"/>
    <w:p w:rsidR="00F5138D" w:rsidRPr="00F5138D" w:rsidRDefault="00F5138D" w:rsidP="00F5138D"/>
    <w:p w:rsidR="00F5138D" w:rsidRDefault="00F5138D" w:rsidP="00F5138D"/>
    <w:p w:rsidR="00F5138D" w:rsidRDefault="00F5138D" w:rsidP="00F5138D">
      <w:pPr>
        <w:tabs>
          <w:tab w:val="left" w:pos="945"/>
        </w:tabs>
      </w:pPr>
      <w:r>
        <w:tab/>
      </w:r>
    </w:p>
    <w:p w:rsidR="00F5138D" w:rsidRPr="00F5138D" w:rsidRDefault="00F5138D" w:rsidP="00F5138D">
      <w:pPr>
        <w:tabs>
          <w:tab w:val="left" w:pos="945"/>
        </w:tabs>
        <w:rPr>
          <w:b/>
        </w:rPr>
      </w:pPr>
      <w:r>
        <w:br w:type="column"/>
      </w:r>
      <w:r w:rsidRPr="00F5138D">
        <w:rPr>
          <w:b/>
        </w:rPr>
        <w:lastRenderedPageBreak/>
        <w:t xml:space="preserve">Fornitura di condotte metalliche circolari </w:t>
      </w:r>
      <w:proofErr w:type="spellStart"/>
      <w:r w:rsidRPr="00F5138D">
        <w:rPr>
          <w:b/>
        </w:rPr>
        <w:t>liscie</w:t>
      </w:r>
      <w:proofErr w:type="spellEnd"/>
      <w:r w:rsidRPr="00F5138D">
        <w:rPr>
          <w:b/>
        </w:rPr>
        <w:t xml:space="preserve"> calandrate per il controllo dei fumi per comparto singolo provviste di marcatura CE secondo normativa di prodotto UNI EN 12101-7:2011. </w:t>
      </w:r>
    </w:p>
    <w:p w:rsidR="00F5138D" w:rsidRDefault="00F5138D" w:rsidP="00F5138D">
      <w:pPr>
        <w:tabs>
          <w:tab w:val="left" w:pos="945"/>
        </w:tabs>
      </w:pPr>
    </w:p>
    <w:p w:rsidR="00F5138D" w:rsidRPr="00F5138D" w:rsidRDefault="00F5138D" w:rsidP="00F5138D">
      <w:pPr>
        <w:tabs>
          <w:tab w:val="left" w:pos="945"/>
        </w:tabs>
        <w:rPr>
          <w:b/>
        </w:rPr>
      </w:pPr>
      <w:r w:rsidRPr="00F5138D">
        <w:rPr>
          <w:b/>
        </w:rPr>
        <w:t xml:space="preserve">Classificazione E600 120 </w:t>
      </w:r>
      <w:proofErr w:type="gramStart"/>
      <w:r w:rsidRPr="00F5138D">
        <w:rPr>
          <w:b/>
        </w:rPr>
        <w:t>( ho</w:t>
      </w:r>
      <w:proofErr w:type="gramEnd"/>
      <w:r w:rsidRPr="00F5138D">
        <w:rPr>
          <w:b/>
        </w:rPr>
        <w:t>) S 1.000 single</w:t>
      </w:r>
    </w:p>
    <w:p w:rsidR="00F5138D" w:rsidRDefault="00F5138D" w:rsidP="00F5138D">
      <w:pPr>
        <w:tabs>
          <w:tab w:val="left" w:pos="945"/>
        </w:tabs>
      </w:pPr>
    </w:p>
    <w:p w:rsidR="00F5138D" w:rsidRDefault="00F5138D" w:rsidP="00F5138D">
      <w:pPr>
        <w:tabs>
          <w:tab w:val="left" w:pos="945"/>
        </w:tabs>
      </w:pPr>
      <w:r>
        <w:t xml:space="preserve">Sono comprese: </w:t>
      </w:r>
    </w:p>
    <w:p w:rsidR="000B6F4C" w:rsidRPr="00F5138D" w:rsidRDefault="00F5138D" w:rsidP="00F5138D">
      <w:pPr>
        <w:tabs>
          <w:tab w:val="left" w:pos="945"/>
        </w:tabs>
      </w:pPr>
      <w:r>
        <w:t>Condotte rettilinee, componenti di raccordo e pezzi speciali con classificazione sopradescritta, accessori per l’assemblaggio dei componenti secondo la regola dell’arte come riportato nel “Manuale di Uso e Manutenzione” ed idoneo staffaggio testato in configurazione orizzontale e verticale per la perfetta installazione secondo la “Procedura di Corretta posa in opera”.</w:t>
      </w:r>
    </w:p>
    <w:sectPr w:rsidR="000B6F4C" w:rsidRPr="00F51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9CFD84"/>
    <w:multiLevelType w:val="hybridMultilevel"/>
    <w:tmpl w:val="20E6988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21D9BD"/>
    <w:multiLevelType w:val="hybridMultilevel"/>
    <w:tmpl w:val="F05EC58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0A3628"/>
    <w:multiLevelType w:val="hybridMultilevel"/>
    <w:tmpl w:val="BCF0C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11AB"/>
    <w:multiLevelType w:val="hybridMultilevel"/>
    <w:tmpl w:val="2280E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A1"/>
    <w:rsid w:val="000B6F4C"/>
    <w:rsid w:val="001507E7"/>
    <w:rsid w:val="005A19FD"/>
    <w:rsid w:val="005C4283"/>
    <w:rsid w:val="006311CD"/>
    <w:rsid w:val="00A630C4"/>
    <w:rsid w:val="00A91D6E"/>
    <w:rsid w:val="00B61560"/>
    <w:rsid w:val="00CD3FA1"/>
    <w:rsid w:val="00E74FC1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59B2-D86D-43CD-9D7C-E0B82B3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CD3FA1"/>
    <w:rPr>
      <w:rFonts w:cs="HelveticaNeueLT Std"/>
      <w:b/>
      <w:bCs/>
      <w:color w:val="000000"/>
      <w:sz w:val="10"/>
      <w:szCs w:val="10"/>
    </w:rPr>
  </w:style>
  <w:style w:type="paragraph" w:customStyle="1" w:styleId="Pa5">
    <w:name w:val="Pa5"/>
    <w:basedOn w:val="Normale"/>
    <w:next w:val="Normale"/>
    <w:uiPriority w:val="99"/>
    <w:rsid w:val="00CD3FA1"/>
    <w:pPr>
      <w:autoSpaceDE w:val="0"/>
      <w:autoSpaceDN w:val="0"/>
      <w:adjustRightInd w:val="0"/>
      <w:spacing w:after="0" w:line="181" w:lineRule="atLeast"/>
    </w:pPr>
    <w:rPr>
      <w:rFonts w:ascii="HelveticaNeueLT Std Med" w:hAnsi="HelveticaNeueLT Std Med"/>
      <w:sz w:val="24"/>
      <w:szCs w:val="24"/>
    </w:rPr>
  </w:style>
  <w:style w:type="paragraph" w:customStyle="1" w:styleId="Pa28">
    <w:name w:val="Pa28"/>
    <w:basedOn w:val="Normale"/>
    <w:next w:val="Normale"/>
    <w:uiPriority w:val="99"/>
    <w:rsid w:val="00CD3FA1"/>
    <w:pPr>
      <w:autoSpaceDE w:val="0"/>
      <w:autoSpaceDN w:val="0"/>
      <w:adjustRightInd w:val="0"/>
      <w:spacing w:after="0" w:line="181" w:lineRule="atLeast"/>
    </w:pPr>
    <w:rPr>
      <w:rFonts w:ascii="HelveticaNeueLT Std Med" w:hAnsi="HelveticaNeueLT Std Med"/>
      <w:sz w:val="24"/>
      <w:szCs w:val="24"/>
    </w:rPr>
  </w:style>
  <w:style w:type="character" w:customStyle="1" w:styleId="A10">
    <w:name w:val="A10"/>
    <w:uiPriority w:val="99"/>
    <w:rsid w:val="00CD3FA1"/>
    <w:rPr>
      <w:rFonts w:cs="HelveticaNeueLT Std Med"/>
      <w:color w:val="000000"/>
      <w:sz w:val="10"/>
      <w:szCs w:val="10"/>
    </w:rPr>
  </w:style>
  <w:style w:type="character" w:customStyle="1" w:styleId="A18">
    <w:name w:val="A18"/>
    <w:uiPriority w:val="99"/>
    <w:rsid w:val="00CD3FA1"/>
    <w:rPr>
      <w:rFonts w:cs="HelveticaNeueLT Std Med"/>
      <w:color w:val="000000"/>
      <w:sz w:val="16"/>
      <w:szCs w:val="16"/>
    </w:rPr>
  </w:style>
  <w:style w:type="paragraph" w:customStyle="1" w:styleId="Pa12">
    <w:name w:val="Pa12"/>
    <w:basedOn w:val="Normale"/>
    <w:next w:val="Normale"/>
    <w:uiPriority w:val="99"/>
    <w:rsid w:val="00CD3FA1"/>
    <w:pPr>
      <w:autoSpaceDE w:val="0"/>
      <w:autoSpaceDN w:val="0"/>
      <w:adjustRightInd w:val="0"/>
      <w:spacing w:after="0" w:line="181" w:lineRule="atLeast"/>
    </w:pPr>
    <w:rPr>
      <w:rFonts w:ascii="HelveticaNeueLT Std Med" w:hAnsi="HelveticaNeueLT Std Med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D3FA1"/>
    <w:rPr>
      <w:color w:val="0563C1" w:themeColor="hyperlink"/>
      <w:u w:val="single"/>
    </w:rPr>
  </w:style>
  <w:style w:type="paragraph" w:customStyle="1" w:styleId="Default">
    <w:name w:val="Default"/>
    <w:rsid w:val="006311CD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rnova.eu/condotte-circolari-6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Pasquarè</dc:creator>
  <cp:keywords/>
  <dc:description/>
  <cp:lastModifiedBy>Matteo Giampieri</cp:lastModifiedBy>
  <cp:revision>7</cp:revision>
  <dcterms:created xsi:type="dcterms:W3CDTF">2015-10-06T07:35:00Z</dcterms:created>
  <dcterms:modified xsi:type="dcterms:W3CDTF">2020-11-23T17:23:00Z</dcterms:modified>
</cp:coreProperties>
</file>